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4341392"/>
        <w:docPartObj>
          <w:docPartGallery w:val="Cover Pages"/>
          <w:docPartUnique/>
        </w:docPartObj>
      </w:sdtPr>
      <w:sdtContent>
        <w:p w:rsidR="0006374D" w:rsidRDefault="00800839">
          <w:r>
            <w:rPr>
              <w:noProof/>
            </w:rPr>
            <w:drawing>
              <wp:anchor distT="0" distB="0" distL="114300" distR="114300" simplePos="0" relativeHeight="251665408" behindDoc="0" locked="0" layoutInCell="1" allowOverlap="1">
                <wp:simplePos x="0" y="0"/>
                <wp:positionH relativeFrom="column">
                  <wp:posOffset>-257810</wp:posOffset>
                </wp:positionH>
                <wp:positionV relativeFrom="paragraph">
                  <wp:posOffset>-372745</wp:posOffset>
                </wp:positionV>
                <wp:extent cx="1425575" cy="1148080"/>
                <wp:effectExtent l="19050" t="0" r="3175" b="0"/>
                <wp:wrapThrough wrapText="bothSides">
                  <wp:wrapPolygon edited="0">
                    <wp:start x="-289" y="0"/>
                    <wp:lineTo x="-289" y="21146"/>
                    <wp:lineTo x="21648" y="21146"/>
                    <wp:lineTo x="21648" y="0"/>
                    <wp:lineTo x="-289" y="0"/>
                  </wp:wrapPolygon>
                </wp:wrapThrough>
                <wp:docPr id="3" name="Picture 2" descr="logo-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d.png"/>
                        <pic:cNvPicPr/>
                      </pic:nvPicPr>
                      <pic:blipFill>
                        <a:blip r:embed="rId9" cstate="print"/>
                        <a:stretch>
                          <a:fillRect/>
                        </a:stretch>
                      </pic:blipFill>
                      <pic:spPr>
                        <a:xfrm>
                          <a:off x="0" y="0"/>
                          <a:ext cx="1425575" cy="1148080"/>
                        </a:xfrm>
                        <a:prstGeom prst="rect">
                          <a:avLst/>
                        </a:prstGeom>
                      </pic:spPr>
                    </pic:pic>
                  </a:graphicData>
                </a:graphic>
              </wp:anchor>
            </w:drawing>
          </w:r>
          <w:r w:rsidR="00C36550">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6374D" w:rsidRPr="0006374D" w:rsidRDefault="00940D94" w:rsidP="003975A5">
                          <w:pPr>
                            <w:pStyle w:val="NoSpacing"/>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lang w:val="en-MY"/>
                            </w:rPr>
                            <w:t>GOODS &amp; SERVICES TAX (GST):                                              Concept  and Impact on Business</w:t>
                          </w:r>
                        </w:p>
                      </w:sdtContent>
                    </w:sdt>
                  </w:txbxContent>
                </v:textbox>
                <w10:wrap anchorx="page" anchory="page"/>
              </v:rect>
            </w:pict>
          </w:r>
          <w:r w:rsidR="00C36550">
            <w:rPr>
              <w:noProof/>
            </w:rPr>
            <w:pict>
              <v:group id="_x0000_s1026" style="position:absolute;margin-left:3163.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Content>
                          <w:p w:rsidR="0006374D" w:rsidRDefault="000637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4C7765">
                              <w:rPr>
                                <w:rFonts w:asciiTheme="majorHAnsi" w:eastAsiaTheme="majorEastAsia" w:hAnsiTheme="majorHAnsi" w:cstheme="majorBidi"/>
                                <w:b/>
                                <w:bCs/>
                                <w:color w:val="FFFFFF" w:themeColor="background1"/>
                                <w:sz w:val="96"/>
                                <w:szCs w:val="96"/>
                              </w:rPr>
                              <w:t>6</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6374D" w:rsidRDefault="0006374D">
                        <w:pPr>
                          <w:pStyle w:val="NoSpacing"/>
                          <w:spacing w:line="360" w:lineRule="auto"/>
                          <w:rPr>
                            <w:color w:val="FFFFFF" w:themeColor="background1"/>
                          </w:rPr>
                        </w:pPr>
                      </w:p>
                      <w:p w:rsidR="0006374D" w:rsidRDefault="0006374D">
                        <w:pPr>
                          <w:pStyle w:val="NoSpacing"/>
                          <w:spacing w:line="360" w:lineRule="auto"/>
                          <w:rPr>
                            <w:color w:val="FFFFFF" w:themeColor="background1"/>
                          </w:rPr>
                        </w:pPr>
                      </w:p>
                      <w:p w:rsidR="0006374D" w:rsidRPr="0006374D" w:rsidRDefault="0006374D">
                        <w:pPr>
                          <w:pStyle w:val="NoSpacing"/>
                          <w:spacing w:line="360" w:lineRule="auto"/>
                          <w:rPr>
                            <w:color w:val="FFFFFF" w:themeColor="background1"/>
                            <w:sz w:val="40"/>
                            <w:szCs w:val="40"/>
                          </w:rPr>
                        </w:pPr>
                      </w:p>
                    </w:txbxContent>
                  </v:textbox>
                </v:rect>
                <w10:wrap anchorx="page" anchory="page"/>
              </v:group>
            </w:pict>
          </w:r>
        </w:p>
        <w:p w:rsidR="0006374D" w:rsidRDefault="00C36550">
          <w:r>
            <w:rPr>
              <w:noProof/>
              <w:lang w:eastAsia="zh-TW"/>
            </w:rPr>
            <w:lastRenderedPageBreak/>
            <w:pict>
              <v:shapetype id="_x0000_t202" coordsize="21600,21600" o:spt="202" path="m,l,21600r21600,l21600,xe">
                <v:stroke joinstyle="miter"/>
                <v:path gradientshapeok="t" o:connecttype="rect"/>
              </v:shapetype>
              <v:shape id="_x0000_s1033" type="#_x0000_t202" style="position:absolute;margin-left:-267.85pt;margin-top:53.95pt;width:140.85pt;height:26pt;z-index:251664384;mso-width-relative:margin;mso-height-relative:margin" filled="f" stroked="f">
                <v:textbox>
                  <w:txbxContent>
                    <w:p w:rsidR="00800839" w:rsidRPr="00800839" w:rsidRDefault="00800839">
                      <w:pPr>
                        <w:rPr>
                          <w:sz w:val="32"/>
                          <w:szCs w:val="32"/>
                        </w:rPr>
                      </w:pPr>
                      <w:r w:rsidRPr="00800839">
                        <w:rPr>
                          <w:sz w:val="32"/>
                          <w:szCs w:val="32"/>
                        </w:rPr>
                        <w:t>BURSATRA</w:t>
                      </w:r>
                    </w:p>
                  </w:txbxContent>
                </v:textbox>
              </v:shape>
            </w:pict>
          </w:r>
          <w:r w:rsidR="0006374D">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12218" cy="3706967"/>
                <wp:effectExtent l="19050" t="19050" r="12282"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12218" cy="3706967"/>
                        </a:xfrm>
                        <a:prstGeom prst="rect">
                          <a:avLst/>
                        </a:prstGeom>
                        <a:ln w="12700">
                          <a:solidFill>
                            <a:schemeClr val="bg1"/>
                          </a:solidFill>
                        </a:ln>
                      </pic:spPr>
                    </pic:pic>
                  </a:graphicData>
                </a:graphic>
              </wp:anchor>
            </w:drawing>
          </w:r>
          <w:r w:rsidR="0006374D">
            <w:br w:type="page"/>
          </w:r>
        </w:p>
      </w:sdtContent>
    </w:sdt>
    <w:p w:rsidR="008D444E" w:rsidRDefault="008D444E" w:rsidP="00E11DAF">
      <w:pPr>
        <w:rPr>
          <w:noProof/>
          <w:sz w:val="20"/>
          <w:szCs w:val="20"/>
        </w:rPr>
        <w:sectPr w:rsidR="008D444E" w:rsidSect="00374D0B">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num="2" w:space="720"/>
          <w:titlePg/>
          <w:docGrid w:linePitch="360"/>
        </w:sectPr>
      </w:pPr>
    </w:p>
    <w:p w:rsidR="00E11DAF" w:rsidRDefault="00C36550" w:rsidP="00E11DAF">
      <w:pPr>
        <w:rPr>
          <w:noProof/>
          <w:sz w:val="20"/>
          <w:szCs w:val="20"/>
        </w:rPr>
      </w:pPr>
      <w:r w:rsidRPr="00C36550">
        <w:rPr>
          <w:noProof/>
        </w:rPr>
        <w:lastRenderedPageBreak/>
        <w:pict>
          <v:roundrect id="_x0000_s1035" style="position:absolute;margin-left:-9.75pt;margin-top:-7.55pt;width:150.55pt;height:23.4pt;z-index:-251650048" arcsize="10923f">
            <v:shadow on="t" offset="3pt" offset2="2pt"/>
            <v:textbox>
              <w:txbxContent>
                <w:p w:rsidR="00374D0B" w:rsidRPr="001034F5" w:rsidRDefault="00374D0B" w:rsidP="00374D0B">
                  <w:pPr>
                    <w:rPr>
                      <w:sz w:val="20"/>
                    </w:rPr>
                  </w:pPr>
                  <w:r w:rsidRPr="001034F5">
                    <w:rPr>
                      <w:sz w:val="20"/>
                    </w:rPr>
                    <w:t>CORPORATE OBJECTIVE</w:t>
                  </w:r>
                </w:p>
              </w:txbxContent>
            </v:textbox>
          </v:roundrect>
        </w:pict>
      </w:r>
    </w:p>
    <w:p w:rsidR="00374D0B" w:rsidRDefault="00027B2A" w:rsidP="00374D0B">
      <w:pPr>
        <w:jc w:val="both"/>
        <w:rPr>
          <w:noProof/>
          <w:sz w:val="20"/>
          <w:szCs w:val="20"/>
        </w:rPr>
      </w:pPr>
      <w:r w:rsidRPr="00027B2A">
        <w:rPr>
          <w:noProof/>
          <w:sz w:val="20"/>
          <w:szCs w:val="20"/>
        </w:rPr>
        <w:t>With the implementation of GST in April 2015, many businesses are still not fully conversant with the basic principles of the GST. This course aims to provide the latest updates on GST rules and regulation, revisit the key concepts and mechanism in regarding to the types of supply, criteria of claiming input tax and GST treatment in certain business transaction. This programme also helps you learn to analyse and understand its effect on the business process and controls in compliance with GST, and avoid any penalties under GST legislation. It is critical for business entrepreneur and top management to keep up to date on the GST legislations and the transitional issues.</w:t>
      </w:r>
      <w:r w:rsidR="00383152" w:rsidRPr="00383152">
        <w:rPr>
          <w:noProof/>
          <w:sz w:val="20"/>
          <w:szCs w:val="20"/>
        </w:rPr>
        <w:t xml:space="preserve">  </w:t>
      </w:r>
    </w:p>
    <w:p w:rsidR="00E51EA5" w:rsidRDefault="00C36550" w:rsidP="00374D0B">
      <w:pPr>
        <w:jc w:val="both"/>
        <w:rPr>
          <w:noProof/>
          <w:sz w:val="20"/>
          <w:szCs w:val="20"/>
        </w:rPr>
      </w:pPr>
      <w:r>
        <w:rPr>
          <w:noProof/>
          <w:sz w:val="20"/>
          <w:szCs w:val="20"/>
        </w:rPr>
        <w:pict>
          <v:roundrect id="_x0000_s1052" style="position:absolute;left:0;text-align:left;margin-left:-9.75pt;margin-top:.95pt;width:150.55pt;height:23.4pt;z-index:-251635712" arcsize="10923f">
            <v:shadow on="t" offset="3pt" offset2="2pt"/>
            <v:textbox>
              <w:txbxContent>
                <w:p w:rsidR="00383152" w:rsidRPr="001034F5" w:rsidRDefault="00383152" w:rsidP="00383152">
                  <w:pPr>
                    <w:rPr>
                      <w:sz w:val="20"/>
                    </w:rPr>
                  </w:pPr>
                  <w:r>
                    <w:rPr>
                      <w:sz w:val="20"/>
                    </w:rPr>
                    <w:t>COURSE METHODOLOGY</w:t>
                  </w:r>
                </w:p>
              </w:txbxContent>
            </v:textbox>
          </v:roundrect>
        </w:pict>
      </w:r>
    </w:p>
    <w:p w:rsidR="00383152" w:rsidRDefault="00383152" w:rsidP="00E51EA5">
      <w:pPr>
        <w:spacing w:after="0" w:line="240" w:lineRule="auto"/>
        <w:contextualSpacing/>
        <w:jc w:val="both"/>
        <w:rPr>
          <w:noProof/>
          <w:sz w:val="20"/>
          <w:szCs w:val="20"/>
        </w:rPr>
      </w:pPr>
    </w:p>
    <w:p w:rsidR="00383152" w:rsidRDefault="00027B2A" w:rsidP="00027B2A">
      <w:pPr>
        <w:pStyle w:val="ListParagraph"/>
        <w:numPr>
          <w:ilvl w:val="0"/>
          <w:numId w:val="6"/>
        </w:numPr>
        <w:spacing w:after="100" w:afterAutospacing="1" w:line="240" w:lineRule="auto"/>
        <w:ind w:left="274" w:hanging="274"/>
        <w:jc w:val="both"/>
        <w:rPr>
          <w:noProof/>
          <w:sz w:val="20"/>
          <w:szCs w:val="20"/>
        </w:rPr>
      </w:pPr>
      <w:r>
        <w:rPr>
          <w:noProof/>
          <w:sz w:val="20"/>
          <w:szCs w:val="20"/>
        </w:rPr>
        <w:pict>
          <v:roundrect id="_x0000_s1037" style="position:absolute;left:0;text-align:left;margin-left:-9.75pt;margin-top:36.5pt;width:150.55pt;height:23.4pt;z-index:-251648000" arcsize="10923f">
            <v:shadow on="t" offset="3pt" offset2="2pt"/>
            <v:textbox style="mso-next-textbox:#_x0000_s1037">
              <w:txbxContent>
                <w:p w:rsidR="00374D0B" w:rsidRPr="001034F5" w:rsidRDefault="00374D0B" w:rsidP="00374D0B">
                  <w:pPr>
                    <w:rPr>
                      <w:sz w:val="20"/>
                    </w:rPr>
                  </w:pPr>
                  <w:r>
                    <w:rPr>
                      <w:sz w:val="20"/>
                    </w:rPr>
                    <w:t>COURSE CONTENT</w:t>
                  </w:r>
                </w:p>
              </w:txbxContent>
            </v:textbox>
          </v:roundrect>
        </w:pict>
      </w:r>
      <w:r w:rsidRPr="00027B2A">
        <w:rPr>
          <w:noProof/>
          <w:sz w:val="20"/>
          <w:szCs w:val="20"/>
        </w:rPr>
        <w:t>Lectures supported by Power-point presentation, discussion and examples.</w:t>
      </w:r>
      <w:r w:rsidR="00383152" w:rsidRPr="00027B2A">
        <w:rPr>
          <w:noProof/>
          <w:sz w:val="20"/>
          <w:szCs w:val="20"/>
        </w:rPr>
        <w:t xml:space="preserve"> </w:t>
      </w:r>
    </w:p>
    <w:p w:rsidR="00027B2A" w:rsidRPr="00027B2A" w:rsidRDefault="00027B2A" w:rsidP="00027B2A">
      <w:pPr>
        <w:spacing w:after="100" w:afterAutospacing="1" w:line="240" w:lineRule="auto"/>
        <w:jc w:val="both"/>
        <w:rPr>
          <w:noProof/>
          <w:sz w:val="20"/>
          <w:szCs w:val="20"/>
        </w:rPr>
      </w:pPr>
    </w:p>
    <w:p w:rsidR="007820B8" w:rsidRPr="00027B2A" w:rsidRDefault="00027B2A" w:rsidP="00E51EA5">
      <w:pPr>
        <w:spacing w:after="0" w:line="240" w:lineRule="auto"/>
        <w:jc w:val="both"/>
        <w:rPr>
          <w:b/>
          <w:bCs/>
          <w:sz w:val="20"/>
          <w:szCs w:val="20"/>
        </w:rPr>
      </w:pPr>
      <w:r w:rsidRPr="00027B2A">
        <w:rPr>
          <w:b/>
          <w:bCs/>
          <w:sz w:val="20"/>
          <w:szCs w:val="20"/>
        </w:rPr>
        <w:t>Module 1 : General Framework and mechanism of GST</w:t>
      </w:r>
    </w:p>
    <w:p w:rsidR="00027B2A" w:rsidRPr="00027B2A" w:rsidRDefault="00027B2A" w:rsidP="00027B2A">
      <w:pPr>
        <w:pStyle w:val="ListParagraph"/>
        <w:numPr>
          <w:ilvl w:val="0"/>
          <w:numId w:val="12"/>
        </w:numPr>
        <w:spacing w:after="0" w:line="240" w:lineRule="auto"/>
        <w:ind w:left="274" w:hanging="274"/>
        <w:jc w:val="both"/>
        <w:rPr>
          <w:sz w:val="20"/>
          <w:szCs w:val="20"/>
        </w:rPr>
      </w:pPr>
      <w:r w:rsidRPr="00027B2A">
        <w:rPr>
          <w:sz w:val="20"/>
          <w:szCs w:val="20"/>
        </w:rPr>
        <w:t>Scope of tax</w:t>
      </w:r>
    </w:p>
    <w:p w:rsidR="00027B2A" w:rsidRPr="00027B2A" w:rsidRDefault="00027B2A" w:rsidP="00027B2A">
      <w:pPr>
        <w:pStyle w:val="ListParagraph"/>
        <w:numPr>
          <w:ilvl w:val="0"/>
          <w:numId w:val="12"/>
        </w:numPr>
        <w:spacing w:after="0" w:line="240" w:lineRule="auto"/>
        <w:ind w:left="274" w:hanging="274"/>
        <w:jc w:val="both"/>
        <w:rPr>
          <w:sz w:val="20"/>
          <w:szCs w:val="20"/>
        </w:rPr>
      </w:pPr>
      <w:r w:rsidRPr="00027B2A">
        <w:rPr>
          <w:sz w:val="20"/>
          <w:szCs w:val="20"/>
        </w:rPr>
        <w:t xml:space="preserve">Types of supplies : Taxable and non-taxable  </w:t>
      </w:r>
    </w:p>
    <w:p w:rsidR="00027B2A" w:rsidRPr="00027B2A" w:rsidRDefault="00027B2A" w:rsidP="00027B2A">
      <w:pPr>
        <w:pStyle w:val="ListParagraph"/>
        <w:numPr>
          <w:ilvl w:val="0"/>
          <w:numId w:val="12"/>
        </w:numPr>
        <w:spacing w:after="0" w:line="240" w:lineRule="auto"/>
        <w:ind w:left="274" w:hanging="274"/>
        <w:jc w:val="both"/>
        <w:rPr>
          <w:sz w:val="20"/>
          <w:szCs w:val="20"/>
        </w:rPr>
      </w:pPr>
      <w:r w:rsidRPr="00027B2A">
        <w:rPr>
          <w:sz w:val="20"/>
          <w:szCs w:val="20"/>
        </w:rPr>
        <w:t xml:space="preserve">Place, value and time of supply of goods </w:t>
      </w:r>
    </w:p>
    <w:p w:rsidR="00027B2A" w:rsidRPr="00027B2A" w:rsidRDefault="00027B2A" w:rsidP="00027B2A">
      <w:pPr>
        <w:pStyle w:val="ListParagraph"/>
        <w:numPr>
          <w:ilvl w:val="0"/>
          <w:numId w:val="12"/>
        </w:numPr>
        <w:spacing w:after="0" w:line="240" w:lineRule="auto"/>
        <w:ind w:left="274" w:hanging="274"/>
        <w:jc w:val="both"/>
        <w:rPr>
          <w:sz w:val="20"/>
          <w:szCs w:val="20"/>
        </w:rPr>
      </w:pPr>
      <w:r w:rsidRPr="00027B2A">
        <w:rPr>
          <w:sz w:val="20"/>
          <w:szCs w:val="20"/>
        </w:rPr>
        <w:t>Implication of GST on imported services: reverse charge mechanism</w:t>
      </w:r>
    </w:p>
    <w:p w:rsidR="00027B2A" w:rsidRPr="00027B2A" w:rsidRDefault="00027B2A" w:rsidP="00027B2A">
      <w:pPr>
        <w:pStyle w:val="ListParagraph"/>
        <w:numPr>
          <w:ilvl w:val="0"/>
          <w:numId w:val="12"/>
        </w:numPr>
        <w:spacing w:after="0" w:line="240" w:lineRule="auto"/>
        <w:ind w:left="274" w:hanging="274"/>
        <w:jc w:val="both"/>
        <w:rPr>
          <w:sz w:val="20"/>
          <w:szCs w:val="20"/>
        </w:rPr>
      </w:pPr>
      <w:r w:rsidRPr="00027B2A">
        <w:rPr>
          <w:sz w:val="20"/>
          <w:szCs w:val="20"/>
        </w:rPr>
        <w:t xml:space="preserve">Value of supply of imported services  </w:t>
      </w:r>
    </w:p>
    <w:p w:rsidR="00027B2A" w:rsidRDefault="00027B2A" w:rsidP="00027B2A">
      <w:pPr>
        <w:pStyle w:val="ListParagraph"/>
        <w:numPr>
          <w:ilvl w:val="0"/>
          <w:numId w:val="12"/>
        </w:numPr>
        <w:spacing w:after="0" w:line="240" w:lineRule="auto"/>
        <w:ind w:left="274" w:hanging="274"/>
        <w:jc w:val="both"/>
        <w:rPr>
          <w:sz w:val="20"/>
          <w:szCs w:val="20"/>
        </w:rPr>
      </w:pPr>
      <w:r w:rsidRPr="00027B2A">
        <w:rPr>
          <w:sz w:val="20"/>
          <w:szCs w:val="20"/>
        </w:rPr>
        <w:t>Transitional issues on supply spanning GST implementation</w:t>
      </w:r>
    </w:p>
    <w:p w:rsidR="00ED0F00" w:rsidRPr="00ED0F00" w:rsidRDefault="00ED0F00" w:rsidP="00ED0F00">
      <w:pPr>
        <w:spacing w:after="0" w:line="240" w:lineRule="auto"/>
        <w:jc w:val="both"/>
        <w:rPr>
          <w:b/>
          <w:bCs/>
          <w:sz w:val="20"/>
          <w:szCs w:val="20"/>
        </w:rPr>
      </w:pPr>
      <w:r w:rsidRPr="00ED0F00">
        <w:rPr>
          <w:b/>
          <w:bCs/>
          <w:sz w:val="20"/>
          <w:szCs w:val="20"/>
        </w:rPr>
        <w:t>Module 2 :Special treatment / business transaction</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Deposit forfeited deposit</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Disbursement vs reimbursement</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stock written off or damaged goods</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 xml:space="preserve">Transaction of a business as a going concern </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Voucher/token</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 xml:space="preserve">Employee’s benefit </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 xml:space="preserve">Disposal of business asset </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 xml:space="preserve">Project retention money </w:t>
      </w:r>
    </w:p>
    <w:p w:rsidR="00ED0F00" w:rsidRPr="00ED0F00" w:rsidRDefault="00ED0F00" w:rsidP="00ED0F00">
      <w:pPr>
        <w:pStyle w:val="ListParagraph"/>
        <w:numPr>
          <w:ilvl w:val="0"/>
          <w:numId w:val="13"/>
        </w:numPr>
        <w:spacing w:after="0" w:line="240" w:lineRule="auto"/>
        <w:ind w:left="274" w:hanging="274"/>
        <w:rPr>
          <w:sz w:val="20"/>
          <w:szCs w:val="20"/>
        </w:rPr>
      </w:pPr>
      <w:r w:rsidRPr="00ED0F00">
        <w:rPr>
          <w:sz w:val="20"/>
          <w:szCs w:val="20"/>
        </w:rPr>
        <w:t xml:space="preserve">Deemed GST inclusive transaction </w:t>
      </w:r>
    </w:p>
    <w:p w:rsidR="00027B2A" w:rsidRPr="00ED0F00" w:rsidRDefault="00ED0F00" w:rsidP="00ED0F00">
      <w:pPr>
        <w:pStyle w:val="ListParagraph"/>
        <w:numPr>
          <w:ilvl w:val="0"/>
          <w:numId w:val="13"/>
        </w:numPr>
        <w:spacing w:after="0" w:line="240" w:lineRule="auto"/>
        <w:ind w:left="270" w:hanging="270"/>
        <w:jc w:val="both"/>
        <w:rPr>
          <w:sz w:val="20"/>
          <w:szCs w:val="20"/>
        </w:rPr>
      </w:pPr>
      <w:r w:rsidRPr="00ED0F00">
        <w:rPr>
          <w:sz w:val="20"/>
          <w:szCs w:val="20"/>
        </w:rPr>
        <w:t>Relief for Second-hand goods</w:t>
      </w:r>
    </w:p>
    <w:p w:rsidR="00ED0F00" w:rsidRDefault="00ED0F00" w:rsidP="00E51EA5">
      <w:pPr>
        <w:spacing w:after="0" w:line="240" w:lineRule="auto"/>
        <w:jc w:val="both"/>
        <w:rPr>
          <w:b/>
          <w:bCs/>
          <w:sz w:val="20"/>
          <w:szCs w:val="20"/>
        </w:rPr>
      </w:pPr>
    </w:p>
    <w:p w:rsidR="00ED0F00" w:rsidRDefault="00ED0F00" w:rsidP="00E51EA5">
      <w:pPr>
        <w:spacing w:after="0" w:line="240" w:lineRule="auto"/>
        <w:jc w:val="both"/>
        <w:rPr>
          <w:b/>
          <w:bCs/>
          <w:sz w:val="20"/>
          <w:szCs w:val="20"/>
        </w:rPr>
      </w:pPr>
    </w:p>
    <w:p w:rsidR="00ED0F00" w:rsidRDefault="00ED0F00" w:rsidP="00E51EA5">
      <w:pPr>
        <w:spacing w:after="0" w:line="240" w:lineRule="auto"/>
        <w:jc w:val="both"/>
        <w:rPr>
          <w:b/>
          <w:bCs/>
          <w:sz w:val="20"/>
          <w:szCs w:val="20"/>
        </w:rPr>
      </w:pPr>
    </w:p>
    <w:p w:rsidR="00027B2A" w:rsidRPr="00ED0F00" w:rsidRDefault="00ED0F00" w:rsidP="00E51EA5">
      <w:pPr>
        <w:spacing w:after="0" w:line="240" w:lineRule="auto"/>
        <w:jc w:val="both"/>
        <w:rPr>
          <w:b/>
          <w:bCs/>
          <w:sz w:val="20"/>
          <w:szCs w:val="20"/>
        </w:rPr>
      </w:pPr>
      <w:r w:rsidRPr="00ED0F00">
        <w:rPr>
          <w:b/>
          <w:bCs/>
          <w:sz w:val="20"/>
          <w:szCs w:val="20"/>
        </w:rPr>
        <w:lastRenderedPageBreak/>
        <w:t>Module 3: Input tax credit mechanism</w:t>
      </w:r>
    </w:p>
    <w:p w:rsidR="00ED0F00" w:rsidRPr="00ED0F00" w:rsidRDefault="00ED0F00" w:rsidP="00ED0F00">
      <w:pPr>
        <w:pStyle w:val="ListParagraph"/>
        <w:numPr>
          <w:ilvl w:val="0"/>
          <w:numId w:val="14"/>
        </w:numPr>
        <w:spacing w:after="0" w:line="240" w:lineRule="auto"/>
        <w:ind w:left="270" w:hanging="270"/>
        <w:rPr>
          <w:sz w:val="20"/>
          <w:szCs w:val="20"/>
        </w:rPr>
      </w:pPr>
      <w:r w:rsidRPr="00ED0F00">
        <w:rPr>
          <w:sz w:val="20"/>
          <w:szCs w:val="20"/>
        </w:rPr>
        <w:t xml:space="preserve">Full tax invoice and simplified tax invoice </w:t>
      </w:r>
    </w:p>
    <w:p w:rsidR="00ED0F00" w:rsidRPr="00ED0F00" w:rsidRDefault="00ED0F00" w:rsidP="00ED0F00">
      <w:pPr>
        <w:pStyle w:val="ListParagraph"/>
        <w:numPr>
          <w:ilvl w:val="0"/>
          <w:numId w:val="14"/>
        </w:numPr>
        <w:spacing w:after="0" w:line="240" w:lineRule="auto"/>
        <w:ind w:left="270" w:hanging="270"/>
        <w:rPr>
          <w:sz w:val="20"/>
          <w:szCs w:val="20"/>
        </w:rPr>
      </w:pPr>
      <w:r w:rsidRPr="00ED0F00">
        <w:rPr>
          <w:sz w:val="20"/>
          <w:szCs w:val="20"/>
        </w:rPr>
        <w:t>Criteria for governing input tax claim</w:t>
      </w:r>
    </w:p>
    <w:p w:rsidR="00ED0F00" w:rsidRPr="00ED0F00" w:rsidRDefault="00ED0F00" w:rsidP="00ED0F00">
      <w:pPr>
        <w:pStyle w:val="ListParagraph"/>
        <w:numPr>
          <w:ilvl w:val="0"/>
          <w:numId w:val="14"/>
        </w:numPr>
        <w:spacing w:after="0" w:line="240" w:lineRule="auto"/>
        <w:ind w:left="270" w:hanging="270"/>
        <w:rPr>
          <w:sz w:val="20"/>
          <w:szCs w:val="20"/>
        </w:rPr>
      </w:pPr>
      <w:r w:rsidRPr="00ED0F00">
        <w:rPr>
          <w:sz w:val="20"/>
          <w:szCs w:val="20"/>
        </w:rPr>
        <w:t>Allowable Input tax</w:t>
      </w:r>
    </w:p>
    <w:p w:rsidR="00ED0F00" w:rsidRPr="00ED0F00" w:rsidRDefault="00ED0F00" w:rsidP="00ED0F00">
      <w:pPr>
        <w:pStyle w:val="ListParagraph"/>
        <w:numPr>
          <w:ilvl w:val="0"/>
          <w:numId w:val="14"/>
        </w:numPr>
        <w:spacing w:after="0" w:line="240" w:lineRule="auto"/>
        <w:ind w:left="270" w:hanging="270"/>
        <w:rPr>
          <w:sz w:val="20"/>
          <w:szCs w:val="20"/>
        </w:rPr>
      </w:pPr>
      <w:r w:rsidRPr="00ED0F00">
        <w:rPr>
          <w:sz w:val="20"/>
          <w:szCs w:val="20"/>
        </w:rPr>
        <w:t xml:space="preserve">Blocked input tax </w:t>
      </w:r>
    </w:p>
    <w:p w:rsidR="00ED0F00" w:rsidRPr="00ED0F00" w:rsidRDefault="00ED0F00" w:rsidP="00ED0F00">
      <w:pPr>
        <w:pStyle w:val="ListParagraph"/>
        <w:numPr>
          <w:ilvl w:val="0"/>
          <w:numId w:val="14"/>
        </w:numPr>
        <w:spacing w:after="0" w:line="240" w:lineRule="auto"/>
        <w:ind w:left="270" w:hanging="270"/>
        <w:rPr>
          <w:sz w:val="20"/>
          <w:szCs w:val="20"/>
        </w:rPr>
      </w:pPr>
      <w:r w:rsidRPr="00ED0F00">
        <w:rPr>
          <w:sz w:val="20"/>
          <w:szCs w:val="20"/>
        </w:rPr>
        <w:t xml:space="preserve">Refund of Input tax </w:t>
      </w:r>
    </w:p>
    <w:p w:rsidR="00027B2A" w:rsidRPr="00ED0F00" w:rsidRDefault="00ED0F00" w:rsidP="00ED0F00">
      <w:pPr>
        <w:pStyle w:val="ListParagraph"/>
        <w:numPr>
          <w:ilvl w:val="0"/>
          <w:numId w:val="14"/>
        </w:numPr>
        <w:spacing w:after="0" w:line="240" w:lineRule="auto"/>
        <w:ind w:left="270" w:hanging="270"/>
        <w:jc w:val="both"/>
        <w:rPr>
          <w:sz w:val="20"/>
          <w:szCs w:val="20"/>
        </w:rPr>
      </w:pPr>
      <w:r w:rsidRPr="00ED0F00">
        <w:rPr>
          <w:sz w:val="20"/>
          <w:szCs w:val="20"/>
        </w:rPr>
        <w:t>Input tax in relation to on use and change of use</w:t>
      </w:r>
    </w:p>
    <w:p w:rsidR="00ED0F00" w:rsidRPr="00B01C0F" w:rsidRDefault="00B01C0F" w:rsidP="00E51EA5">
      <w:pPr>
        <w:spacing w:after="0" w:line="240" w:lineRule="auto"/>
        <w:jc w:val="both"/>
        <w:rPr>
          <w:b/>
          <w:bCs/>
          <w:sz w:val="20"/>
          <w:szCs w:val="20"/>
        </w:rPr>
      </w:pPr>
      <w:r w:rsidRPr="00B01C0F">
        <w:rPr>
          <w:b/>
          <w:bCs/>
          <w:sz w:val="20"/>
          <w:szCs w:val="20"/>
        </w:rPr>
        <w:t>Module 4 : Taxable period Furnishing of returns</w:t>
      </w:r>
    </w:p>
    <w:p w:rsidR="00B01C0F" w:rsidRPr="00B01C0F" w:rsidRDefault="00B01C0F" w:rsidP="00B01C0F">
      <w:pPr>
        <w:pStyle w:val="ListParagraph"/>
        <w:numPr>
          <w:ilvl w:val="0"/>
          <w:numId w:val="15"/>
        </w:numPr>
        <w:spacing w:after="0" w:line="240" w:lineRule="auto"/>
        <w:ind w:left="270" w:hanging="270"/>
        <w:rPr>
          <w:sz w:val="20"/>
          <w:szCs w:val="20"/>
        </w:rPr>
      </w:pPr>
      <w:r w:rsidRPr="00B01C0F">
        <w:rPr>
          <w:sz w:val="20"/>
          <w:szCs w:val="20"/>
        </w:rPr>
        <w:t>Taxable period</w:t>
      </w:r>
    </w:p>
    <w:p w:rsidR="00B01C0F" w:rsidRPr="00B01C0F" w:rsidRDefault="00B01C0F" w:rsidP="00B01C0F">
      <w:pPr>
        <w:pStyle w:val="ListParagraph"/>
        <w:numPr>
          <w:ilvl w:val="0"/>
          <w:numId w:val="15"/>
        </w:numPr>
        <w:spacing w:after="0" w:line="240" w:lineRule="auto"/>
        <w:ind w:left="270" w:hanging="270"/>
        <w:rPr>
          <w:sz w:val="20"/>
          <w:szCs w:val="20"/>
        </w:rPr>
      </w:pPr>
      <w:r w:rsidRPr="00B01C0F">
        <w:rPr>
          <w:sz w:val="20"/>
          <w:szCs w:val="20"/>
        </w:rPr>
        <w:t xml:space="preserve">Accounting Basis </w:t>
      </w:r>
    </w:p>
    <w:p w:rsidR="00B01C0F" w:rsidRPr="00B01C0F" w:rsidRDefault="00B01C0F" w:rsidP="00B01C0F">
      <w:pPr>
        <w:pStyle w:val="ListParagraph"/>
        <w:numPr>
          <w:ilvl w:val="0"/>
          <w:numId w:val="15"/>
        </w:numPr>
        <w:spacing w:after="0" w:line="240" w:lineRule="auto"/>
        <w:ind w:left="270" w:hanging="270"/>
        <w:rPr>
          <w:sz w:val="20"/>
          <w:szCs w:val="20"/>
        </w:rPr>
      </w:pPr>
      <w:r w:rsidRPr="00B01C0F">
        <w:rPr>
          <w:sz w:val="20"/>
          <w:szCs w:val="20"/>
        </w:rPr>
        <w:t>GST Return and payment</w:t>
      </w:r>
    </w:p>
    <w:p w:rsidR="00B01C0F" w:rsidRPr="00B01C0F" w:rsidRDefault="00B01C0F" w:rsidP="00B01C0F">
      <w:pPr>
        <w:pStyle w:val="ListParagraph"/>
        <w:numPr>
          <w:ilvl w:val="0"/>
          <w:numId w:val="15"/>
        </w:numPr>
        <w:spacing w:after="0" w:line="240" w:lineRule="auto"/>
        <w:ind w:left="270" w:hanging="270"/>
        <w:rPr>
          <w:sz w:val="20"/>
          <w:szCs w:val="20"/>
        </w:rPr>
      </w:pPr>
      <w:r w:rsidRPr="00B01C0F">
        <w:rPr>
          <w:sz w:val="20"/>
          <w:szCs w:val="20"/>
        </w:rPr>
        <w:t xml:space="preserve">Penalty for late payment of tax </w:t>
      </w:r>
    </w:p>
    <w:p w:rsidR="00B01C0F" w:rsidRPr="00B01C0F" w:rsidRDefault="00B01C0F" w:rsidP="00B01C0F">
      <w:pPr>
        <w:pStyle w:val="ListParagraph"/>
        <w:numPr>
          <w:ilvl w:val="0"/>
          <w:numId w:val="15"/>
        </w:numPr>
        <w:spacing w:after="0" w:line="240" w:lineRule="auto"/>
        <w:ind w:left="270" w:hanging="270"/>
        <w:rPr>
          <w:sz w:val="20"/>
          <w:szCs w:val="20"/>
        </w:rPr>
      </w:pPr>
      <w:r w:rsidRPr="00B01C0F">
        <w:rPr>
          <w:sz w:val="20"/>
          <w:szCs w:val="20"/>
        </w:rPr>
        <w:t xml:space="preserve">Types of recording keeping </w:t>
      </w:r>
    </w:p>
    <w:p w:rsidR="00B01C0F" w:rsidRPr="00B01C0F" w:rsidRDefault="00B01C0F" w:rsidP="00B01C0F">
      <w:pPr>
        <w:pStyle w:val="ListParagraph"/>
        <w:numPr>
          <w:ilvl w:val="0"/>
          <w:numId w:val="15"/>
        </w:numPr>
        <w:spacing w:after="0" w:line="240" w:lineRule="auto"/>
        <w:ind w:left="270" w:hanging="270"/>
        <w:jc w:val="both"/>
        <w:rPr>
          <w:sz w:val="20"/>
          <w:szCs w:val="20"/>
        </w:rPr>
      </w:pPr>
      <w:r w:rsidRPr="00B01C0F">
        <w:rPr>
          <w:sz w:val="20"/>
          <w:szCs w:val="20"/>
        </w:rPr>
        <w:t xml:space="preserve">GST declaration and payment by Non-taxable person   </w:t>
      </w:r>
    </w:p>
    <w:p w:rsidR="00B01C0F" w:rsidRDefault="00B01C0F" w:rsidP="00E51EA5">
      <w:pPr>
        <w:spacing w:after="0" w:line="240" w:lineRule="auto"/>
        <w:jc w:val="both"/>
        <w:rPr>
          <w:sz w:val="20"/>
          <w:szCs w:val="20"/>
        </w:rPr>
      </w:pPr>
    </w:p>
    <w:p w:rsidR="00FE2F55" w:rsidRDefault="00C36550" w:rsidP="00FE2F55">
      <w:pPr>
        <w:jc w:val="both"/>
        <w:rPr>
          <w:sz w:val="20"/>
          <w:szCs w:val="20"/>
        </w:rPr>
      </w:pPr>
      <w:r>
        <w:rPr>
          <w:noProof/>
          <w:sz w:val="20"/>
          <w:szCs w:val="20"/>
        </w:rPr>
        <w:pict>
          <v:roundrect id="_x0000_s1038" style="position:absolute;left:0;text-align:left;margin-left:-7pt;margin-top:2.85pt;width:150.55pt;height:23.4pt;z-index:-251646976" arcsize="10923f">
            <v:shadow on="t" offset="3pt" offset2="2pt"/>
            <v:textbox>
              <w:txbxContent>
                <w:p w:rsidR="00FE2F55" w:rsidRPr="001034F5" w:rsidRDefault="00FE2F55" w:rsidP="00FE2F55">
                  <w:pPr>
                    <w:rPr>
                      <w:sz w:val="20"/>
                    </w:rPr>
                  </w:pPr>
                  <w:r>
                    <w:rPr>
                      <w:sz w:val="20"/>
                    </w:rPr>
                    <w:t>TARGET AUDIENCE</w:t>
                  </w:r>
                </w:p>
              </w:txbxContent>
            </v:textbox>
          </v:roundrect>
        </w:pict>
      </w:r>
    </w:p>
    <w:p w:rsidR="000230E8" w:rsidRDefault="000230E8" w:rsidP="000230E8">
      <w:pPr>
        <w:spacing w:after="0" w:line="240" w:lineRule="auto"/>
        <w:jc w:val="both"/>
        <w:rPr>
          <w:sz w:val="20"/>
          <w:szCs w:val="20"/>
        </w:rPr>
      </w:pPr>
    </w:p>
    <w:p w:rsidR="00B01C0F" w:rsidRDefault="00B01C0F" w:rsidP="00EA763B">
      <w:pPr>
        <w:spacing w:after="0" w:line="240" w:lineRule="auto"/>
        <w:jc w:val="both"/>
        <w:rPr>
          <w:sz w:val="20"/>
          <w:szCs w:val="20"/>
        </w:rPr>
      </w:pPr>
      <w:r w:rsidRPr="00B01C0F">
        <w:rPr>
          <w:sz w:val="20"/>
          <w:szCs w:val="20"/>
        </w:rPr>
        <w:t>Directors, Business entrepreneur, General managers, CEO, Head of  marketing, logistics, procurement &amp; human resource, Chief engineers, Company Secretary, Business Planner, product manager</w:t>
      </w:r>
    </w:p>
    <w:p w:rsidR="00B01C0F" w:rsidRDefault="00B01C0F" w:rsidP="00EA763B">
      <w:pPr>
        <w:spacing w:after="0" w:line="240" w:lineRule="auto"/>
        <w:jc w:val="both"/>
        <w:rPr>
          <w:sz w:val="20"/>
          <w:szCs w:val="20"/>
        </w:rPr>
      </w:pPr>
    </w:p>
    <w:p w:rsidR="00102AC5" w:rsidRDefault="00C36550" w:rsidP="00EA763B">
      <w:pPr>
        <w:spacing w:after="0" w:line="240" w:lineRule="auto"/>
        <w:jc w:val="both"/>
        <w:rPr>
          <w:sz w:val="20"/>
          <w:szCs w:val="20"/>
        </w:rPr>
      </w:pPr>
      <w:r>
        <w:rPr>
          <w:noProof/>
          <w:sz w:val="20"/>
          <w:szCs w:val="20"/>
        </w:rPr>
        <w:pict>
          <v:roundrect id="_x0000_s1053" style="position:absolute;left:0;text-align:left;margin-left:169.35pt;margin-top:1.7pt;width:70.15pt;height:38.15pt;z-index:251681792" arcsize="10923f" fillcolor="black [3200]" strokecolor="#f2f2f2 [3041]" strokeweight="3pt">
            <v:shadow on="t" type="perspective" color="#7f7f7f [1601]" opacity=".5" offset="1pt" offset2="-1pt"/>
            <v:textbox>
              <w:txbxContent>
                <w:p w:rsidR="00B24BBA" w:rsidRPr="00B24BBA" w:rsidRDefault="00B24BBA" w:rsidP="00B24BBA">
                  <w:pPr>
                    <w:jc w:val="center"/>
                    <w:rPr>
                      <w:b/>
                      <w:bCs/>
                    </w:rPr>
                  </w:pPr>
                  <w:r w:rsidRPr="00B24BBA">
                    <w:rPr>
                      <w:b/>
                      <w:bCs/>
                    </w:rPr>
                    <w:t>8 CEP POINTS</w:t>
                  </w:r>
                </w:p>
              </w:txbxContent>
            </v:textbox>
          </v:roundrect>
        </w:pict>
      </w:r>
      <w:r>
        <w:rPr>
          <w:noProof/>
          <w:sz w:val="20"/>
          <w:szCs w:val="20"/>
        </w:rPr>
        <w:pict>
          <v:roundrect id="_x0000_s1039" style="position:absolute;left:0;text-align:left;margin-left:-7pt;margin-top:11.5pt;width:150.55pt;height:23.4pt;z-index:-251645952" arcsize="10923f">
            <v:shadow on="t" offset="3pt" offset2="2pt"/>
            <v:textbox style="mso-next-textbox:#_x0000_s1039">
              <w:txbxContent>
                <w:p w:rsidR="00102AC5" w:rsidRPr="001034F5" w:rsidRDefault="00102AC5" w:rsidP="00102AC5">
                  <w:pPr>
                    <w:rPr>
                      <w:sz w:val="20"/>
                    </w:rPr>
                  </w:pPr>
                  <w:r>
                    <w:rPr>
                      <w:sz w:val="20"/>
                    </w:rPr>
                    <w:t>ADMINISTRATIVE DETAILS</w:t>
                  </w:r>
                </w:p>
              </w:txbxContent>
            </v:textbox>
          </v:roundrect>
        </w:pict>
      </w:r>
    </w:p>
    <w:p w:rsidR="00EA763B" w:rsidRDefault="00EA763B" w:rsidP="00374D0B">
      <w:pPr>
        <w:jc w:val="both"/>
        <w:rPr>
          <w:sz w:val="20"/>
          <w:szCs w:val="20"/>
        </w:rPr>
      </w:pPr>
    </w:p>
    <w:p w:rsidR="00EA763B" w:rsidRDefault="00EA763B" w:rsidP="00EA763B">
      <w:pPr>
        <w:spacing w:after="0" w:line="240" w:lineRule="auto"/>
        <w:jc w:val="both"/>
        <w:rPr>
          <w:sz w:val="20"/>
          <w:szCs w:val="20"/>
        </w:rPr>
      </w:pPr>
    </w:p>
    <w:tbl>
      <w:tblPr>
        <w:tblStyle w:val="TableGrid"/>
        <w:tblW w:w="4786" w:type="dxa"/>
        <w:tblInd w:w="113" w:type="dxa"/>
        <w:tblLook w:val="04A0"/>
      </w:tblPr>
      <w:tblGrid>
        <w:gridCol w:w="1512"/>
        <w:gridCol w:w="297"/>
        <w:gridCol w:w="2977"/>
      </w:tblGrid>
      <w:tr w:rsidR="008D444E" w:rsidTr="00ED48FD">
        <w:trPr>
          <w:trHeight w:val="340"/>
        </w:trPr>
        <w:tc>
          <w:tcPr>
            <w:tcW w:w="1512" w:type="dxa"/>
            <w:vAlign w:val="center"/>
          </w:tcPr>
          <w:p w:rsidR="008D444E" w:rsidRDefault="008D444E" w:rsidP="00D40625">
            <w:pPr>
              <w:rPr>
                <w:sz w:val="20"/>
                <w:szCs w:val="20"/>
              </w:rPr>
            </w:pPr>
            <w:r>
              <w:rPr>
                <w:sz w:val="20"/>
                <w:szCs w:val="20"/>
              </w:rPr>
              <w:t>DATE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580F85" w:rsidP="00DE5B95">
            <w:pPr>
              <w:rPr>
                <w:sz w:val="20"/>
                <w:szCs w:val="20"/>
              </w:rPr>
            </w:pPr>
            <w:r>
              <w:rPr>
                <w:sz w:val="20"/>
                <w:szCs w:val="20"/>
              </w:rPr>
              <w:t>21</w:t>
            </w:r>
            <w:r w:rsidRPr="00580F85">
              <w:rPr>
                <w:sz w:val="20"/>
                <w:szCs w:val="20"/>
                <w:vertAlign w:val="superscript"/>
              </w:rPr>
              <w:t>st</w:t>
            </w:r>
            <w:r>
              <w:rPr>
                <w:sz w:val="20"/>
                <w:szCs w:val="20"/>
              </w:rPr>
              <w:t xml:space="preserve"> October 2016</w:t>
            </w:r>
          </w:p>
        </w:tc>
      </w:tr>
      <w:tr w:rsidR="008D444E" w:rsidTr="00ED48FD">
        <w:trPr>
          <w:trHeight w:val="340"/>
        </w:trPr>
        <w:tc>
          <w:tcPr>
            <w:tcW w:w="1512" w:type="dxa"/>
            <w:vAlign w:val="center"/>
          </w:tcPr>
          <w:p w:rsidR="008D444E" w:rsidRDefault="008D444E" w:rsidP="00D40625">
            <w:pPr>
              <w:rPr>
                <w:sz w:val="20"/>
                <w:szCs w:val="20"/>
              </w:rPr>
            </w:pPr>
            <w:r>
              <w:rPr>
                <w:sz w:val="20"/>
                <w:szCs w:val="20"/>
              </w:rPr>
              <w:t>DURATION</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580F85" w:rsidP="00D40625">
            <w:pPr>
              <w:rPr>
                <w:sz w:val="20"/>
                <w:szCs w:val="20"/>
              </w:rPr>
            </w:pPr>
            <w:r>
              <w:rPr>
                <w:sz w:val="20"/>
                <w:szCs w:val="20"/>
              </w:rPr>
              <w:t>01 day</w:t>
            </w:r>
            <w:r w:rsidR="008D444E">
              <w:rPr>
                <w:sz w:val="20"/>
                <w:szCs w:val="20"/>
              </w:rPr>
              <w:t xml:space="preserve"> (0900-1700)</w:t>
            </w:r>
          </w:p>
        </w:tc>
      </w:tr>
      <w:tr w:rsidR="008D444E" w:rsidTr="00ED48FD">
        <w:trPr>
          <w:trHeight w:val="340"/>
        </w:trPr>
        <w:tc>
          <w:tcPr>
            <w:tcW w:w="1512" w:type="dxa"/>
            <w:vAlign w:val="center"/>
          </w:tcPr>
          <w:p w:rsidR="008D444E" w:rsidRDefault="008D444E" w:rsidP="00D40625">
            <w:pPr>
              <w:rPr>
                <w:sz w:val="20"/>
                <w:szCs w:val="20"/>
              </w:rPr>
            </w:pPr>
            <w:r>
              <w:rPr>
                <w:sz w:val="20"/>
                <w:szCs w:val="20"/>
              </w:rPr>
              <w:t>VENUE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65370D" w:rsidP="00580F85">
            <w:pPr>
              <w:rPr>
                <w:sz w:val="20"/>
                <w:szCs w:val="20"/>
              </w:rPr>
            </w:pPr>
            <w:r>
              <w:rPr>
                <w:sz w:val="20"/>
                <w:szCs w:val="20"/>
              </w:rPr>
              <w:t>Petaling Jaya</w:t>
            </w:r>
          </w:p>
        </w:tc>
      </w:tr>
      <w:tr w:rsidR="008D444E" w:rsidTr="00ED48FD">
        <w:trPr>
          <w:trHeight w:val="340"/>
        </w:trPr>
        <w:tc>
          <w:tcPr>
            <w:tcW w:w="1512" w:type="dxa"/>
            <w:vAlign w:val="center"/>
          </w:tcPr>
          <w:p w:rsidR="008D444E" w:rsidRDefault="008D444E" w:rsidP="00D40625">
            <w:pPr>
              <w:rPr>
                <w:sz w:val="20"/>
                <w:szCs w:val="20"/>
              </w:rPr>
            </w:pPr>
            <w:r>
              <w:rPr>
                <w:sz w:val="20"/>
                <w:szCs w:val="20"/>
              </w:rPr>
              <w:t>FEE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8D444E" w:rsidP="00580F85">
            <w:pPr>
              <w:rPr>
                <w:sz w:val="20"/>
                <w:szCs w:val="20"/>
              </w:rPr>
            </w:pPr>
            <w:r w:rsidRPr="008D444E">
              <w:rPr>
                <w:sz w:val="20"/>
                <w:szCs w:val="20"/>
              </w:rPr>
              <w:t>RM</w:t>
            </w:r>
            <w:r w:rsidR="00580F85">
              <w:rPr>
                <w:sz w:val="20"/>
                <w:szCs w:val="20"/>
              </w:rPr>
              <w:t>880.00 per person (Fee is ex</w:t>
            </w:r>
            <w:r w:rsidRPr="008D444E">
              <w:rPr>
                <w:sz w:val="20"/>
                <w:szCs w:val="20"/>
              </w:rPr>
              <w:t>clusive of 6% GST)</w:t>
            </w:r>
          </w:p>
        </w:tc>
      </w:tr>
      <w:tr w:rsidR="008D444E" w:rsidTr="00ED48FD">
        <w:trPr>
          <w:trHeight w:val="340"/>
        </w:trPr>
        <w:tc>
          <w:tcPr>
            <w:tcW w:w="1512" w:type="dxa"/>
            <w:vAlign w:val="center"/>
          </w:tcPr>
          <w:p w:rsidR="008D444E" w:rsidRDefault="008D444E" w:rsidP="00D40625">
            <w:pPr>
              <w:rPr>
                <w:sz w:val="20"/>
                <w:szCs w:val="20"/>
              </w:rPr>
            </w:pPr>
            <w:r>
              <w:rPr>
                <w:sz w:val="20"/>
                <w:szCs w:val="20"/>
              </w:rPr>
              <w:t>PAYMENT</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Pr="008D444E" w:rsidRDefault="008D444E" w:rsidP="00D40625">
            <w:pPr>
              <w:rPr>
                <w:sz w:val="20"/>
                <w:szCs w:val="20"/>
              </w:rPr>
            </w:pPr>
            <w:r w:rsidRPr="008D444E">
              <w:rPr>
                <w:sz w:val="20"/>
                <w:szCs w:val="20"/>
              </w:rPr>
              <w:t xml:space="preserve">Cheque is to be made payable to </w:t>
            </w:r>
            <w:r w:rsidRPr="0065370D">
              <w:rPr>
                <w:b/>
                <w:bCs/>
                <w:color w:val="FF0000"/>
                <w:sz w:val="20"/>
                <w:szCs w:val="20"/>
              </w:rPr>
              <w:t>BURSATRA SDN. BHD.</w:t>
            </w:r>
          </w:p>
        </w:tc>
      </w:tr>
    </w:tbl>
    <w:p w:rsidR="00102AC5" w:rsidRDefault="00C36550" w:rsidP="00374D0B">
      <w:pPr>
        <w:jc w:val="both"/>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0;margin-top:19.9pt;width:243pt;height:75.05pt;z-index:-251638784;mso-position-horizontal-relative:text;mso-position-vertical-relative:text" filled="t" fillcolor="#ffb9b9">
            <v:fill opacity="29491f"/>
            <v:textbox>
              <w:txbxContent>
                <w:p w:rsidR="00EA763B" w:rsidRPr="00EA763B" w:rsidRDefault="00EA763B" w:rsidP="009D7515">
                  <w:pPr>
                    <w:spacing w:after="0" w:line="240" w:lineRule="auto"/>
                    <w:jc w:val="both"/>
                    <w:rPr>
                      <w:i/>
                      <w:sz w:val="20"/>
                      <w:szCs w:val="20"/>
                    </w:rPr>
                  </w:pPr>
                  <w:r w:rsidRPr="00EA763B">
                    <w:rPr>
                      <w:i/>
                      <w:sz w:val="20"/>
                      <w:szCs w:val="20"/>
                    </w:rPr>
                    <w:t>Postponement / Cancellation within seven (07) working days prior to the event are subject to a cancellation / postponement fee of 20%. Full amount of the registration fee(s) is chargeable for non-attendance of the participant(s).</w:t>
                  </w:r>
                </w:p>
                <w:p w:rsidR="00EA763B" w:rsidRPr="00EA763B" w:rsidRDefault="00EA763B" w:rsidP="00EA763B">
                  <w:pPr>
                    <w:rPr>
                      <w:sz w:val="20"/>
                      <w:szCs w:val="20"/>
                    </w:rPr>
                  </w:pPr>
                </w:p>
              </w:txbxContent>
            </v:textbox>
          </v:shape>
        </w:pict>
      </w:r>
    </w:p>
    <w:p w:rsidR="008D444E" w:rsidRDefault="008D444E" w:rsidP="00374D0B">
      <w:pPr>
        <w:jc w:val="both"/>
        <w:rPr>
          <w:sz w:val="20"/>
          <w:szCs w:val="20"/>
        </w:rPr>
      </w:pPr>
    </w:p>
    <w:p w:rsidR="00027B2A" w:rsidRDefault="00027B2A" w:rsidP="000230E8">
      <w:pPr>
        <w:jc w:val="both"/>
        <w:rPr>
          <w:sz w:val="20"/>
          <w:szCs w:val="20"/>
        </w:rPr>
      </w:pPr>
    </w:p>
    <w:p w:rsidR="00027B2A" w:rsidRDefault="00027B2A" w:rsidP="000230E8">
      <w:pPr>
        <w:jc w:val="both"/>
        <w:rPr>
          <w:sz w:val="20"/>
          <w:szCs w:val="20"/>
        </w:rPr>
      </w:pPr>
    </w:p>
    <w:p w:rsidR="00027B2A" w:rsidRDefault="00027B2A" w:rsidP="000230E8">
      <w:pPr>
        <w:jc w:val="both"/>
        <w:rPr>
          <w:sz w:val="20"/>
          <w:szCs w:val="20"/>
        </w:rPr>
      </w:pPr>
    </w:p>
    <w:p w:rsidR="00027B2A" w:rsidRDefault="00027B2A" w:rsidP="000230E8">
      <w:pPr>
        <w:jc w:val="both"/>
        <w:rPr>
          <w:sz w:val="20"/>
          <w:szCs w:val="20"/>
        </w:rPr>
      </w:pPr>
    </w:p>
    <w:p w:rsidR="00027B2A" w:rsidRDefault="00027B2A" w:rsidP="000230E8">
      <w:pPr>
        <w:jc w:val="both"/>
        <w:rPr>
          <w:sz w:val="20"/>
          <w:szCs w:val="20"/>
        </w:rPr>
      </w:pPr>
    </w:p>
    <w:p w:rsidR="00027B2A" w:rsidRDefault="00027B2A" w:rsidP="000230E8">
      <w:pPr>
        <w:jc w:val="both"/>
        <w:rPr>
          <w:sz w:val="20"/>
          <w:szCs w:val="20"/>
        </w:rPr>
      </w:pPr>
    </w:p>
    <w:p w:rsidR="00027B2A" w:rsidRDefault="00027B2A" w:rsidP="000230E8">
      <w:pPr>
        <w:jc w:val="both"/>
        <w:rPr>
          <w:sz w:val="20"/>
          <w:szCs w:val="20"/>
        </w:rPr>
        <w:sectPr w:rsidR="00027B2A"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rsidR="00E51EA5" w:rsidRDefault="00E51EA5" w:rsidP="000230E8">
      <w:pPr>
        <w:jc w:val="both"/>
        <w:rPr>
          <w:sz w:val="20"/>
          <w:szCs w:val="20"/>
        </w:rPr>
      </w:pPr>
    </w:p>
    <w:p w:rsidR="000230E8" w:rsidRDefault="00C36550" w:rsidP="000230E8">
      <w:pPr>
        <w:jc w:val="both"/>
        <w:rPr>
          <w:sz w:val="20"/>
          <w:szCs w:val="20"/>
        </w:rPr>
      </w:pPr>
      <w:r>
        <w:rPr>
          <w:noProof/>
          <w:sz w:val="20"/>
          <w:szCs w:val="20"/>
        </w:rPr>
        <w:lastRenderedPageBreak/>
        <w:pict>
          <v:roundrect id="_x0000_s1040" style="position:absolute;left:0;text-align:left;margin-left:-13.35pt;margin-top:-5.45pt;width:150.55pt;height:23.4pt;z-index:-251644928" arcsize="10923f">
            <v:shadow on="t" offset="3pt" offset2="2pt"/>
            <v:textbox>
              <w:txbxContent>
                <w:p w:rsidR="000230E8" w:rsidRPr="001034F5" w:rsidRDefault="000230E8" w:rsidP="000230E8">
                  <w:pPr>
                    <w:rPr>
                      <w:sz w:val="20"/>
                    </w:rPr>
                  </w:pPr>
                  <w:r>
                    <w:rPr>
                      <w:sz w:val="20"/>
                    </w:rPr>
                    <w:t>SPEAKER PROFILE</w:t>
                  </w:r>
                </w:p>
              </w:txbxContent>
            </v:textbox>
          </v:roundrect>
        </w:pict>
      </w:r>
    </w:p>
    <w:p w:rsidR="000230E8" w:rsidRPr="000230E8" w:rsidRDefault="000230E8" w:rsidP="000230E8">
      <w:pPr>
        <w:jc w:val="both"/>
        <w:rPr>
          <w:b/>
          <w:sz w:val="20"/>
          <w:szCs w:val="20"/>
        </w:rPr>
      </w:pPr>
      <w:r w:rsidRPr="000230E8">
        <w:rPr>
          <w:b/>
          <w:sz w:val="20"/>
          <w:szCs w:val="20"/>
        </w:rPr>
        <w:t>MR. TAM FOOK CHEONG</w:t>
      </w:r>
    </w:p>
    <w:p w:rsidR="000230E8" w:rsidRPr="000230E8" w:rsidRDefault="000230E8" w:rsidP="000230E8">
      <w:pPr>
        <w:jc w:val="both"/>
        <w:rPr>
          <w:sz w:val="20"/>
          <w:szCs w:val="20"/>
        </w:rPr>
      </w:pPr>
      <w:r w:rsidRPr="000230E8">
        <w:rPr>
          <w:sz w:val="20"/>
          <w:szCs w:val="20"/>
        </w:rPr>
        <w:t>Mr. Tam is a fellow member of the Chartered Association of Certified Accountants, UK and Associate member of the Chartered Institute of Management Accountants, UK. He is also a member of Malaysia Institute of Accountants and also obtained a certificate IV in Assessment and Workplace Training awarded by TAFE SA from Australia and a certified trainer in PSMB.</w:t>
      </w:r>
    </w:p>
    <w:p w:rsidR="008D444E" w:rsidRDefault="000230E8" w:rsidP="000230E8">
      <w:pPr>
        <w:jc w:val="both"/>
        <w:rPr>
          <w:sz w:val="20"/>
          <w:szCs w:val="20"/>
        </w:rPr>
      </w:pPr>
      <w:r w:rsidRPr="000230E8">
        <w:rPr>
          <w:sz w:val="20"/>
          <w:szCs w:val="20"/>
        </w:rPr>
        <w:t xml:space="preserve"> He started his career in 1975 as an auditor in a medium-sized audit firm and later joined National University of Malaysia as a Financial Accountant. In early 1980 he joined PETRONAS till end of 2008. He had undertaken various roles within PETRONAS Group of companies in the areas of strategic planning, corporate planning, financial reporting, project and property management as well as other finance- related matters. Currently, he serves as learning and training consultant for various training service providers and also facilitates workshop sessions for professional and accountancy bodies as well as a local counsellor in the finance module for the MBA program. He also serves as an independent non-executive director of two companies listed on Bursa Malaysia.</w:t>
      </w:r>
    </w:p>
    <w:p w:rsidR="008D444E" w:rsidRDefault="008D444E"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940D94" w:rsidRDefault="00940D94"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Pr="004E6547" w:rsidRDefault="001C3709" w:rsidP="001C3709">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sdt>
      <w:sdtPr>
        <w:rPr>
          <w:sz w:val="36"/>
          <w:szCs w:val="36"/>
        </w:rPr>
        <w:alias w:val="Title"/>
        <w:id w:val="1749313"/>
        <w:placeholder>
          <w:docPart w:val="9D4F4CA4DD2244109BB1592351E3DBD8"/>
        </w:placeholder>
        <w:dataBinding w:prefixMappings="xmlns:ns0='http://purl.org/dc/elements/1.1/' xmlns:ns1='http://schemas.openxmlformats.org/package/2006/metadata/core-properties' " w:xpath="/ns1:coreProperties[1]/ns0:title[1]" w:storeItemID="{6C3C8BC8-F283-45AE-878A-BAB7291924A1}"/>
        <w:text/>
      </w:sdtPr>
      <w:sdtContent>
        <w:p w:rsidR="00940D94" w:rsidRPr="00940D94" w:rsidRDefault="00940D94" w:rsidP="00940D94">
          <w:pPr>
            <w:spacing w:after="0" w:line="240" w:lineRule="auto"/>
            <w:jc w:val="center"/>
            <w:rPr>
              <w:sz w:val="36"/>
              <w:szCs w:val="36"/>
            </w:rPr>
          </w:pPr>
          <w:r w:rsidRPr="00940D94">
            <w:rPr>
              <w:sz w:val="36"/>
              <w:szCs w:val="36"/>
              <w:lang w:val="en-MY"/>
            </w:rPr>
            <w:t>GOODS &amp; SERVICES TAX (GST):</w:t>
          </w:r>
          <w:r>
            <w:rPr>
              <w:sz w:val="36"/>
              <w:szCs w:val="36"/>
              <w:lang w:val="en-MY"/>
            </w:rPr>
            <w:t xml:space="preserve">                                              </w:t>
          </w:r>
          <w:r w:rsidRPr="00940D94">
            <w:rPr>
              <w:sz w:val="36"/>
              <w:szCs w:val="36"/>
              <w:lang w:val="en-MY"/>
            </w:rPr>
            <w:t>Concept  and Impact on Business</w:t>
          </w:r>
        </w:p>
      </w:sdtContent>
    </w:sdt>
    <w:p w:rsidR="001C3709" w:rsidRDefault="001C3709" w:rsidP="001C3709">
      <w:pPr>
        <w:spacing w:after="0" w:line="240" w:lineRule="auto"/>
        <w:jc w:val="center"/>
        <w:rPr>
          <w:sz w:val="24"/>
          <w:szCs w:val="24"/>
        </w:rPr>
      </w:pPr>
      <w:r>
        <w:rPr>
          <w:sz w:val="24"/>
          <w:szCs w:val="24"/>
        </w:rPr>
        <w:t>0900 – 1700 hours</w:t>
      </w:r>
    </w:p>
    <w:p w:rsidR="00DE5B95" w:rsidRDefault="0065370D" w:rsidP="00940D94">
      <w:pPr>
        <w:spacing w:after="0" w:line="240" w:lineRule="auto"/>
        <w:jc w:val="center"/>
        <w:rPr>
          <w:sz w:val="24"/>
          <w:szCs w:val="24"/>
        </w:rPr>
      </w:pPr>
      <w:r>
        <w:rPr>
          <w:sz w:val="24"/>
          <w:szCs w:val="24"/>
        </w:rPr>
        <w:t>P</w:t>
      </w:r>
      <w:r w:rsidR="00DE5B95">
        <w:rPr>
          <w:sz w:val="24"/>
          <w:szCs w:val="24"/>
        </w:rPr>
        <w:t>etaling Jaya</w:t>
      </w:r>
    </w:p>
    <w:p w:rsidR="001C3709" w:rsidRDefault="001C3709" w:rsidP="001C3709"/>
    <w:p w:rsidR="001C3709" w:rsidRPr="004E6547" w:rsidRDefault="00C36550" w:rsidP="001C3709">
      <w:pPr>
        <w:rPr>
          <w:sz w:val="24"/>
          <w:szCs w:val="24"/>
        </w:rPr>
      </w:pPr>
      <w:r w:rsidRPr="00C36550">
        <w:rPr>
          <w:noProof/>
          <w:color w:val="548DD4" w:themeColor="text2" w:themeTint="99"/>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margin-left:-17.8pt;margin-top:-.45pt;width:11.05pt;height:16.85pt;z-index:251673600" strokecolor="#548dd4"/>
        </w:pict>
      </w:r>
      <w:r w:rsidR="0007636E">
        <w:rPr>
          <w:sz w:val="24"/>
          <w:szCs w:val="24"/>
        </w:rPr>
        <w:t>D</w:t>
      </w:r>
      <w:r w:rsidR="001C3709">
        <w:rPr>
          <w:sz w:val="24"/>
          <w:szCs w:val="24"/>
        </w:rPr>
        <w:t>ate:</w:t>
      </w:r>
    </w:p>
    <w:tbl>
      <w:tblPr>
        <w:tblW w:w="0" w:type="auto"/>
        <w:tblInd w:w="340" w:type="dxa"/>
        <w:tblLayout w:type="fixed"/>
        <w:tblLook w:val="04A0"/>
      </w:tblPr>
      <w:tblGrid>
        <w:gridCol w:w="250"/>
        <w:gridCol w:w="2353"/>
        <w:gridCol w:w="284"/>
        <w:gridCol w:w="2977"/>
        <w:gridCol w:w="283"/>
        <w:gridCol w:w="284"/>
        <w:gridCol w:w="283"/>
        <w:gridCol w:w="623"/>
      </w:tblGrid>
      <w:tr w:rsidR="001C3709" w:rsidRPr="00E76169" w:rsidTr="004C7765">
        <w:tc>
          <w:tcPr>
            <w:tcW w:w="250" w:type="dxa"/>
          </w:tcPr>
          <w:p w:rsidR="001C3709" w:rsidRPr="00E76169" w:rsidRDefault="00C36550" w:rsidP="007349B9">
            <w:pPr>
              <w:spacing w:after="0" w:line="240" w:lineRule="auto"/>
              <w:rPr>
                <w:sz w:val="24"/>
                <w:szCs w:val="24"/>
              </w:rPr>
            </w:pPr>
            <w:r>
              <w:rPr>
                <w:noProof/>
                <w:sz w:val="24"/>
                <w:szCs w:val="24"/>
              </w:rPr>
              <w:pict>
                <v:rect id="_x0000_s1044" style="position:absolute;margin-left:-5.25pt;margin-top:0;width:10.65pt;height:10.05pt;z-index:251676672;mso-position-vertical:top;mso-position-vertical-relative:margin">
                  <v:shadow on="t" offset=",3pt" offset2=",2pt"/>
                  <w10:wrap anchory="margin"/>
                </v:rect>
              </w:pict>
            </w:r>
          </w:p>
        </w:tc>
        <w:tc>
          <w:tcPr>
            <w:tcW w:w="2353" w:type="dxa"/>
          </w:tcPr>
          <w:p w:rsidR="001C3709" w:rsidRPr="00E76169" w:rsidRDefault="00940D94" w:rsidP="00940D94">
            <w:pPr>
              <w:spacing w:after="0" w:line="240" w:lineRule="auto"/>
              <w:rPr>
                <w:sz w:val="24"/>
                <w:szCs w:val="24"/>
              </w:rPr>
            </w:pPr>
            <w:r>
              <w:rPr>
                <w:sz w:val="24"/>
                <w:szCs w:val="24"/>
              </w:rPr>
              <w:t>21</w:t>
            </w:r>
            <w:r w:rsidRPr="00940D94">
              <w:rPr>
                <w:sz w:val="24"/>
                <w:szCs w:val="24"/>
                <w:vertAlign w:val="superscript"/>
              </w:rPr>
              <w:t>st</w:t>
            </w:r>
            <w:r>
              <w:rPr>
                <w:sz w:val="24"/>
                <w:szCs w:val="24"/>
              </w:rPr>
              <w:t xml:space="preserve"> October 2016</w:t>
            </w:r>
          </w:p>
        </w:tc>
        <w:tc>
          <w:tcPr>
            <w:tcW w:w="284" w:type="dxa"/>
          </w:tcPr>
          <w:p w:rsidR="001C3709" w:rsidRPr="00E76169" w:rsidRDefault="001C3709" w:rsidP="007349B9">
            <w:pPr>
              <w:spacing w:after="0" w:line="240" w:lineRule="auto"/>
              <w:rPr>
                <w:sz w:val="24"/>
                <w:szCs w:val="24"/>
              </w:rPr>
            </w:pPr>
          </w:p>
        </w:tc>
        <w:tc>
          <w:tcPr>
            <w:tcW w:w="2977" w:type="dxa"/>
          </w:tcPr>
          <w:p w:rsidR="001C3709" w:rsidRPr="00E76169" w:rsidRDefault="001C3709" w:rsidP="007349B9">
            <w:pPr>
              <w:spacing w:after="0" w:line="240" w:lineRule="auto"/>
              <w:rPr>
                <w:sz w:val="24"/>
                <w:szCs w:val="24"/>
              </w:rPr>
            </w:pPr>
          </w:p>
        </w:tc>
        <w:tc>
          <w:tcPr>
            <w:tcW w:w="283" w:type="dxa"/>
          </w:tcPr>
          <w:p w:rsidR="001C3709" w:rsidRPr="00E76169" w:rsidRDefault="001C3709" w:rsidP="007349B9">
            <w:pPr>
              <w:spacing w:after="0" w:line="240" w:lineRule="auto"/>
              <w:rPr>
                <w:sz w:val="24"/>
                <w:szCs w:val="24"/>
              </w:rPr>
            </w:pPr>
          </w:p>
        </w:tc>
        <w:tc>
          <w:tcPr>
            <w:tcW w:w="284" w:type="dxa"/>
          </w:tcPr>
          <w:p w:rsidR="001C3709" w:rsidRPr="00E76169" w:rsidRDefault="001C3709" w:rsidP="007349B9">
            <w:pPr>
              <w:spacing w:after="0" w:line="240" w:lineRule="auto"/>
              <w:rPr>
                <w:sz w:val="24"/>
                <w:szCs w:val="24"/>
              </w:rPr>
            </w:pPr>
          </w:p>
        </w:tc>
        <w:tc>
          <w:tcPr>
            <w:tcW w:w="283" w:type="dxa"/>
          </w:tcPr>
          <w:p w:rsidR="001C3709" w:rsidRDefault="001C3709" w:rsidP="007349B9">
            <w:pPr>
              <w:spacing w:after="0" w:line="240" w:lineRule="auto"/>
              <w:rPr>
                <w:sz w:val="24"/>
                <w:szCs w:val="24"/>
              </w:rPr>
            </w:pPr>
          </w:p>
        </w:tc>
        <w:tc>
          <w:tcPr>
            <w:tcW w:w="623" w:type="dxa"/>
          </w:tcPr>
          <w:p w:rsidR="001C3709" w:rsidRDefault="001C3709" w:rsidP="007349B9">
            <w:pPr>
              <w:spacing w:after="0" w:line="240" w:lineRule="auto"/>
              <w:rPr>
                <w:sz w:val="24"/>
                <w:szCs w:val="24"/>
              </w:rPr>
            </w:pPr>
          </w:p>
        </w:tc>
      </w:tr>
    </w:tbl>
    <w:p w:rsidR="001C3709" w:rsidRDefault="001C3709" w:rsidP="001C3709">
      <w:pPr>
        <w:pStyle w:val="Heading2"/>
        <w:jc w:val="left"/>
        <w:rPr>
          <w:sz w:val="16"/>
          <w:szCs w:val="16"/>
        </w:rPr>
      </w:pPr>
    </w:p>
    <w:p w:rsidR="007349B9" w:rsidRDefault="007349B9" w:rsidP="001C3709">
      <w:pPr>
        <w:rPr>
          <w:sz w:val="24"/>
          <w:szCs w:val="24"/>
        </w:rPr>
      </w:pPr>
    </w:p>
    <w:p w:rsidR="001C3709" w:rsidRPr="004E6547" w:rsidRDefault="00C36550" w:rsidP="001C3709">
      <w:pPr>
        <w:rPr>
          <w:sz w:val="24"/>
          <w:szCs w:val="24"/>
        </w:rPr>
      </w:pPr>
      <w:r w:rsidRPr="00C36550">
        <w:rPr>
          <w:noProof/>
          <w:color w:val="548DD4" w:themeColor="text2" w:themeTint="99"/>
          <w:sz w:val="24"/>
          <w:szCs w:val="24"/>
        </w:rPr>
        <w:pict>
          <v:shape id="_x0000_s1042" type="#_x0000_t55" style="position:absolute;margin-left:-17.8pt;margin-top:.3pt;width:11.05pt;height:16.85pt;z-index:251674624" strokecolor="#548dd4"/>
        </w:pict>
      </w:r>
      <w:r w:rsidR="001C3709" w:rsidRPr="004E6547">
        <w:rPr>
          <w:sz w:val="24"/>
          <w:szCs w:val="24"/>
        </w:rPr>
        <w:t>Details:</w:t>
      </w:r>
    </w:p>
    <w:tbl>
      <w:tblPr>
        <w:tblW w:w="0" w:type="auto"/>
        <w:tblInd w:w="340" w:type="dxa"/>
        <w:tblLayout w:type="fixed"/>
        <w:tblLook w:val="04A0"/>
      </w:tblPr>
      <w:tblGrid>
        <w:gridCol w:w="2298"/>
        <w:gridCol w:w="284"/>
        <w:gridCol w:w="6280"/>
      </w:tblGrid>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Participant</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NRIC / Passport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Address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p>
        </w:tc>
        <w:tc>
          <w:tcPr>
            <w:tcW w:w="284" w:type="dxa"/>
            <w:vAlign w:val="center"/>
          </w:tcPr>
          <w:p w:rsidR="001C3709" w:rsidRPr="00E76169" w:rsidRDefault="001C3709" w:rsidP="007349B9">
            <w:pPr>
              <w:spacing w:after="0" w:line="240" w:lineRule="auto"/>
              <w:rPr>
                <w:sz w:val="24"/>
                <w:szCs w:val="24"/>
              </w:rPr>
            </w:pP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Contact Person &amp; 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Tel.#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Fax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E-mail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bl>
    <w:p w:rsidR="00191908" w:rsidRDefault="00191908" w:rsidP="001C3709">
      <w:pPr>
        <w:spacing w:after="0" w:line="240" w:lineRule="auto"/>
        <w:jc w:val="center"/>
        <w:rPr>
          <w:noProof/>
          <w:sz w:val="24"/>
          <w:szCs w:val="24"/>
        </w:rPr>
      </w:pPr>
    </w:p>
    <w:p w:rsidR="0010616B" w:rsidRDefault="00C36550" w:rsidP="001C3709">
      <w:pPr>
        <w:spacing w:after="0" w:line="240" w:lineRule="auto"/>
        <w:jc w:val="center"/>
        <w:rPr>
          <w:noProof/>
          <w:sz w:val="24"/>
          <w:szCs w:val="24"/>
        </w:rPr>
      </w:pPr>
      <w:r>
        <w:rPr>
          <w:noProof/>
          <w:sz w:val="24"/>
          <w:szCs w:val="24"/>
        </w:rPr>
        <w:pict>
          <v:shape id="_x0000_s1043" type="#_x0000_t55" style="position:absolute;left:0;text-align:left;margin-left:-17.8pt;margin-top:.2pt;width:11.05pt;height:16.85pt;z-index:251675648" strokecolor="#548dd4"/>
        </w:pict>
      </w:r>
      <w:r w:rsidR="001C3709" w:rsidRPr="00E94F5F">
        <w:rPr>
          <w:noProof/>
          <w:sz w:val="24"/>
          <w:szCs w:val="24"/>
        </w:rPr>
        <w:t>TO REGISTER,</w:t>
      </w:r>
    </w:p>
    <w:p w:rsidR="001C3709" w:rsidRDefault="001C3709" w:rsidP="001C3709">
      <w:pPr>
        <w:spacing w:after="0" w:line="240" w:lineRule="auto"/>
        <w:jc w:val="center"/>
        <w:rPr>
          <w:noProof/>
          <w:sz w:val="24"/>
          <w:szCs w:val="24"/>
        </w:rPr>
      </w:pPr>
      <w:r w:rsidRPr="00E94F5F">
        <w:rPr>
          <w:noProof/>
          <w:sz w:val="24"/>
          <w:szCs w:val="24"/>
        </w:rPr>
        <w:t>PLEASE CALL 03-7958 8001 / 03-7958 8002 OR</w:t>
      </w:r>
    </w:p>
    <w:p w:rsidR="001C3709" w:rsidRDefault="001C3709" w:rsidP="001C3709">
      <w:pPr>
        <w:spacing w:after="0" w:line="240" w:lineRule="auto"/>
        <w:jc w:val="center"/>
        <w:rPr>
          <w:noProof/>
          <w:sz w:val="24"/>
          <w:szCs w:val="24"/>
        </w:rPr>
      </w:pPr>
      <w:r w:rsidRPr="00E94F5F">
        <w:rPr>
          <w:noProof/>
          <w:sz w:val="24"/>
          <w:szCs w:val="24"/>
        </w:rPr>
        <w:t>FAX REGISTRATION FORM TO:</w:t>
      </w:r>
      <w:r>
        <w:rPr>
          <w:noProof/>
          <w:sz w:val="24"/>
          <w:szCs w:val="24"/>
        </w:rPr>
        <w:t xml:space="preserve"> </w:t>
      </w:r>
      <w:r w:rsidR="00D72256">
        <w:rPr>
          <w:noProof/>
          <w:sz w:val="24"/>
          <w:szCs w:val="24"/>
        </w:rPr>
        <w:t>03-7954 8001</w:t>
      </w:r>
      <w:r w:rsidRPr="00E94F5F">
        <w:rPr>
          <w:noProof/>
          <w:sz w:val="24"/>
          <w:szCs w:val="24"/>
        </w:rPr>
        <w:t xml:space="preserve"> OR</w:t>
      </w:r>
    </w:p>
    <w:p w:rsidR="001C3709" w:rsidRPr="00C97D66" w:rsidRDefault="001C3709" w:rsidP="001C3709">
      <w:pPr>
        <w:spacing w:after="0" w:line="240" w:lineRule="auto"/>
        <w:jc w:val="center"/>
        <w:rPr>
          <w:noProof/>
          <w:color w:val="548DD4" w:themeColor="text2" w:themeTint="99"/>
          <w:sz w:val="24"/>
          <w:szCs w:val="24"/>
        </w:rPr>
      </w:pPr>
      <w:r w:rsidRPr="00E94F5F">
        <w:rPr>
          <w:noProof/>
          <w:sz w:val="24"/>
          <w:szCs w:val="24"/>
        </w:rPr>
        <w:t>E-MAIL TO: sophiah@bursatra.com.my</w:t>
      </w:r>
    </w:p>
    <w:p w:rsidR="00DE5B95" w:rsidRDefault="00DE5B95" w:rsidP="00374D0B">
      <w:pPr>
        <w:jc w:val="both"/>
        <w:rPr>
          <w:sz w:val="20"/>
          <w:szCs w:val="20"/>
        </w:rPr>
      </w:pPr>
    </w:p>
    <w:p w:rsidR="00DE5B95" w:rsidRPr="00374D0B" w:rsidRDefault="00DE5B95" w:rsidP="00DE5B95">
      <w:pPr>
        <w:jc w:val="center"/>
        <w:rPr>
          <w:sz w:val="20"/>
          <w:szCs w:val="20"/>
        </w:rPr>
      </w:pPr>
      <w:r w:rsidRPr="00DE5B95">
        <w:rPr>
          <w:sz w:val="20"/>
          <w:szCs w:val="20"/>
        </w:rPr>
        <w:t>BURSATRA SDN BHD IS A REGISTERED TRAINING PROVIDER WITH PSMB (Reg. No: 520353-U)</w:t>
      </w:r>
    </w:p>
    <w:sectPr w:rsidR="00DE5B95" w:rsidRPr="00374D0B"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E83" w:rsidRDefault="00627E83" w:rsidP="00C4570F">
      <w:pPr>
        <w:spacing w:after="0" w:line="240" w:lineRule="auto"/>
      </w:pPr>
      <w:r>
        <w:separator/>
      </w:r>
    </w:p>
  </w:endnote>
  <w:endnote w:type="continuationSeparator" w:id="1">
    <w:p w:rsidR="00627E83" w:rsidRDefault="00627E83" w:rsidP="00C4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fldSimple w:instr=" PAGE   \* MERGEFORMAT ">
      <w:r w:rsidR="00772A53" w:rsidRPr="00772A53">
        <w:rPr>
          <w:rFonts w:asciiTheme="majorHAnsi" w:hAnsiTheme="majorHAnsi"/>
          <w:noProof/>
        </w:rPr>
        <w:t>3</w:t>
      </w:r>
    </w:fldSimple>
  </w:p>
  <w:p w:rsidR="00455A2A" w:rsidRDefault="00455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fldSimple w:instr=" PAGE   \* MERGEFORMAT ">
      <w:r w:rsidR="00772A53" w:rsidRPr="00772A53">
        <w:rPr>
          <w:rFonts w:asciiTheme="majorHAnsi" w:hAnsiTheme="majorHAnsi"/>
          <w:noProof/>
        </w:rPr>
        <w:t>2</w:t>
      </w:r>
    </w:fldSimple>
  </w:p>
  <w:p w:rsidR="00FE2470" w:rsidRPr="00FE2470" w:rsidRDefault="00FE2470" w:rsidP="00FE247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E83" w:rsidRDefault="00627E83" w:rsidP="00C4570F">
      <w:pPr>
        <w:spacing w:after="0" w:line="240" w:lineRule="auto"/>
      </w:pPr>
      <w:r>
        <w:separator/>
      </w:r>
    </w:p>
  </w:footnote>
  <w:footnote w:type="continuationSeparator" w:id="1">
    <w:p w:rsidR="00627E83" w:rsidRDefault="00627E83" w:rsidP="00C45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365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9" o:spid="_x0000_s2066" type="#_x0000_t75" style="position:absolute;margin-left:0;margin-top:0;width:285pt;height:27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365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30" o:spid="_x0000_s2067" type="#_x0000_t75" style="position:absolute;margin-left:0;margin-top:0;width:285pt;height:27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365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8" o:spid="_x0000_s2065" type="#_x0000_t75" style="position:absolute;margin-left:0;margin-top:0;width:285pt;height:27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C64"/>
    <w:multiLevelType w:val="hybridMultilevel"/>
    <w:tmpl w:val="A320A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E7953"/>
    <w:multiLevelType w:val="hybridMultilevel"/>
    <w:tmpl w:val="579A1884"/>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A5063"/>
    <w:multiLevelType w:val="hybridMultilevel"/>
    <w:tmpl w:val="4BD233F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26C7E"/>
    <w:multiLevelType w:val="hybridMultilevel"/>
    <w:tmpl w:val="EC00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12852"/>
    <w:multiLevelType w:val="hybridMultilevel"/>
    <w:tmpl w:val="23B06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25CEB"/>
    <w:multiLevelType w:val="hybridMultilevel"/>
    <w:tmpl w:val="F766B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26BB0"/>
    <w:multiLevelType w:val="hybridMultilevel"/>
    <w:tmpl w:val="1D76777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67780"/>
    <w:multiLevelType w:val="hybridMultilevel"/>
    <w:tmpl w:val="2B4455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95506"/>
    <w:multiLevelType w:val="hybridMultilevel"/>
    <w:tmpl w:val="29A85E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043FE"/>
    <w:multiLevelType w:val="hybridMultilevel"/>
    <w:tmpl w:val="4AEA445E"/>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81A9E"/>
    <w:multiLevelType w:val="hybridMultilevel"/>
    <w:tmpl w:val="B420E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DB5F70"/>
    <w:multiLevelType w:val="hybridMultilevel"/>
    <w:tmpl w:val="09C08E9C"/>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036915"/>
    <w:multiLevelType w:val="hybridMultilevel"/>
    <w:tmpl w:val="4D2AD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14676"/>
    <w:multiLevelType w:val="hybridMultilevel"/>
    <w:tmpl w:val="BACEE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40423E"/>
    <w:multiLevelType w:val="hybridMultilevel"/>
    <w:tmpl w:val="0FA0D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9"/>
  </w:num>
  <w:num w:numId="5">
    <w:abstractNumId w:val="1"/>
  </w:num>
  <w:num w:numId="6">
    <w:abstractNumId w:val="3"/>
  </w:num>
  <w:num w:numId="7">
    <w:abstractNumId w:val="5"/>
  </w:num>
  <w:num w:numId="8">
    <w:abstractNumId w:val="14"/>
  </w:num>
  <w:num w:numId="9">
    <w:abstractNumId w:val="4"/>
  </w:num>
  <w:num w:numId="10">
    <w:abstractNumId w:val="12"/>
  </w:num>
  <w:num w:numId="11">
    <w:abstractNumId w:val="0"/>
  </w:num>
  <w:num w:numId="12">
    <w:abstractNumId w:val="10"/>
  </w:num>
  <w:num w:numId="13">
    <w:abstractNumId w:val="7"/>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06374D"/>
    <w:rsid w:val="000230E8"/>
    <w:rsid w:val="00027B2A"/>
    <w:rsid w:val="0006374D"/>
    <w:rsid w:val="00071E72"/>
    <w:rsid w:val="0007636E"/>
    <w:rsid w:val="00102AC5"/>
    <w:rsid w:val="0010616B"/>
    <w:rsid w:val="001340DE"/>
    <w:rsid w:val="00146609"/>
    <w:rsid w:val="00183B42"/>
    <w:rsid w:val="00191908"/>
    <w:rsid w:val="001B6AE2"/>
    <w:rsid w:val="001C3709"/>
    <w:rsid w:val="00252425"/>
    <w:rsid w:val="00374D0B"/>
    <w:rsid w:val="00383152"/>
    <w:rsid w:val="003975A5"/>
    <w:rsid w:val="00455A2A"/>
    <w:rsid w:val="00474823"/>
    <w:rsid w:val="004B0FC1"/>
    <w:rsid w:val="004C7765"/>
    <w:rsid w:val="004D32C8"/>
    <w:rsid w:val="00580F85"/>
    <w:rsid w:val="00627E83"/>
    <w:rsid w:val="0063316A"/>
    <w:rsid w:val="0065370D"/>
    <w:rsid w:val="007349B9"/>
    <w:rsid w:val="00772A53"/>
    <w:rsid w:val="00773E24"/>
    <w:rsid w:val="007820B8"/>
    <w:rsid w:val="00800839"/>
    <w:rsid w:val="00890A4F"/>
    <w:rsid w:val="008D444E"/>
    <w:rsid w:val="00916FB5"/>
    <w:rsid w:val="00940D94"/>
    <w:rsid w:val="00977688"/>
    <w:rsid w:val="00990A9F"/>
    <w:rsid w:val="009D7515"/>
    <w:rsid w:val="009F28CE"/>
    <w:rsid w:val="00AD5DA3"/>
    <w:rsid w:val="00B01C0F"/>
    <w:rsid w:val="00B24BBA"/>
    <w:rsid w:val="00B26521"/>
    <w:rsid w:val="00C36550"/>
    <w:rsid w:val="00C4570F"/>
    <w:rsid w:val="00C702E0"/>
    <w:rsid w:val="00D02035"/>
    <w:rsid w:val="00D40625"/>
    <w:rsid w:val="00D40935"/>
    <w:rsid w:val="00D7032B"/>
    <w:rsid w:val="00D72256"/>
    <w:rsid w:val="00D74B17"/>
    <w:rsid w:val="00DE5B95"/>
    <w:rsid w:val="00DF00E4"/>
    <w:rsid w:val="00E11DAF"/>
    <w:rsid w:val="00E45B4D"/>
    <w:rsid w:val="00E51EA5"/>
    <w:rsid w:val="00E63F35"/>
    <w:rsid w:val="00EA763B"/>
    <w:rsid w:val="00ED0F00"/>
    <w:rsid w:val="00ED48FD"/>
    <w:rsid w:val="00ED7F0B"/>
    <w:rsid w:val="00F872A8"/>
    <w:rsid w:val="00FE2470"/>
    <w:rsid w:val="00FE2F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09"/>
  </w:style>
  <w:style w:type="paragraph" w:styleId="Heading2">
    <w:name w:val="heading 2"/>
    <w:basedOn w:val="Normal"/>
    <w:next w:val="Normal"/>
    <w:link w:val="Heading2Char"/>
    <w:qFormat/>
    <w:rsid w:val="001C3709"/>
    <w:pPr>
      <w:keepNext/>
      <w:spacing w:after="0" w:line="240" w:lineRule="auto"/>
      <w:jc w:val="center"/>
      <w:outlineLvl w:val="1"/>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74D"/>
    <w:pPr>
      <w:spacing w:after="0" w:line="240" w:lineRule="auto"/>
    </w:pPr>
    <w:rPr>
      <w:rFonts w:eastAsiaTheme="minorEastAsia"/>
    </w:rPr>
  </w:style>
  <w:style w:type="character" w:customStyle="1" w:styleId="NoSpacingChar">
    <w:name w:val="No Spacing Char"/>
    <w:basedOn w:val="DefaultParagraphFont"/>
    <w:link w:val="NoSpacing"/>
    <w:uiPriority w:val="1"/>
    <w:rsid w:val="0006374D"/>
    <w:rPr>
      <w:rFonts w:eastAsiaTheme="minorEastAsia"/>
    </w:rPr>
  </w:style>
  <w:style w:type="paragraph" w:styleId="BalloonText">
    <w:name w:val="Balloon Text"/>
    <w:basedOn w:val="Normal"/>
    <w:link w:val="BalloonTextChar"/>
    <w:uiPriority w:val="99"/>
    <w:semiHidden/>
    <w:unhideWhenUsed/>
    <w:rsid w:val="0006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4D"/>
    <w:rPr>
      <w:rFonts w:ascii="Tahoma" w:hAnsi="Tahoma" w:cs="Tahoma"/>
      <w:sz w:val="16"/>
      <w:szCs w:val="16"/>
    </w:rPr>
  </w:style>
  <w:style w:type="paragraph" w:styleId="ListParagraph">
    <w:name w:val="List Paragraph"/>
    <w:basedOn w:val="Normal"/>
    <w:uiPriority w:val="34"/>
    <w:qFormat/>
    <w:rsid w:val="00374D0B"/>
    <w:pPr>
      <w:ind w:left="720"/>
      <w:contextualSpacing/>
    </w:pPr>
  </w:style>
  <w:style w:type="table" w:styleId="TableGrid">
    <w:name w:val="Table Grid"/>
    <w:basedOn w:val="TableNormal"/>
    <w:uiPriority w:val="59"/>
    <w:rsid w:val="008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5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70F"/>
  </w:style>
  <w:style w:type="paragraph" w:styleId="Footer">
    <w:name w:val="footer"/>
    <w:basedOn w:val="Normal"/>
    <w:link w:val="FooterChar"/>
    <w:uiPriority w:val="99"/>
    <w:unhideWhenUsed/>
    <w:rsid w:val="00C4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0F"/>
  </w:style>
  <w:style w:type="character" w:customStyle="1" w:styleId="Heading2Char">
    <w:name w:val="Heading 2 Char"/>
    <w:basedOn w:val="DefaultParagraphFont"/>
    <w:link w:val="Heading2"/>
    <w:rsid w:val="001C3709"/>
    <w:rPr>
      <w:rFonts w:ascii="Arial" w:eastAsia="Times New Roman" w:hAnsi="Arial" w:cs="Times New Roman"/>
      <w:b/>
      <w:sz w:val="24"/>
      <w:szCs w:val="20"/>
      <w:lang w:val="en-GB"/>
    </w:rPr>
  </w:style>
  <w:style w:type="character" w:styleId="PlaceholderText">
    <w:name w:val="Placeholder Text"/>
    <w:basedOn w:val="DefaultParagraphFont"/>
    <w:uiPriority w:val="99"/>
    <w:semiHidden/>
    <w:rsid w:val="00940D9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4F4CA4DD2244109BB1592351E3DBD8"/>
        <w:category>
          <w:name w:val="General"/>
          <w:gallery w:val="placeholder"/>
        </w:category>
        <w:types>
          <w:type w:val="bbPlcHdr"/>
        </w:types>
        <w:behaviors>
          <w:behavior w:val="content"/>
        </w:behaviors>
        <w:guid w:val="{37EAAD81-C942-4649-A503-67D5DAF10703}"/>
      </w:docPartPr>
      <w:docPartBody>
        <w:p w:rsidR="00000000" w:rsidRDefault="001214AF">
          <w:r w:rsidRPr="003B453D">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14AF"/>
    <w:rsid w:val="000D4E29"/>
    <w:rsid w:val="001214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4AF"/>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2BF6CA-5E6E-4BA7-9387-FD86267B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GOODS &amp; SERVICES TAX (GST):               Concept  and Impact on Business</vt:lpstr>
    </vt:vector>
  </TitlesOfParts>
  <Company>Proxy</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GOODS &amp; SERVICES TAX (GST):                                              Concept  and Impact on Business</dc:title>
  <dc:creator>Azlan</dc:creator>
  <cp:lastModifiedBy>hp</cp:lastModifiedBy>
  <cp:revision>7</cp:revision>
  <cp:lastPrinted>2016-06-10T18:30:00Z</cp:lastPrinted>
  <dcterms:created xsi:type="dcterms:W3CDTF">2016-10-02T18:30:00Z</dcterms:created>
  <dcterms:modified xsi:type="dcterms:W3CDTF">2016-10-02T18:48:00Z</dcterms:modified>
  <cp:category>Financial Management and Reporting</cp:category>
</cp:coreProperties>
</file>